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218" w:rightChars="-104"/>
        <w:jc w:val="center"/>
        <w:rPr>
          <w:rFonts w:hint="eastAsia" w:ascii="方正小标宋简体" w:hAnsi="Times New Roman" w:eastAsia="方正小标宋简体" w:cs="Times New Roman"/>
          <w:sz w:val="44"/>
          <w:szCs w:val="44"/>
          <w:lang w:val="en-US" w:eastAsia="zh-CN"/>
        </w:rPr>
      </w:pPr>
      <w:r>
        <w:rPr>
          <w:rFonts w:hint="eastAsia" w:ascii="方正小标宋简体" w:hAnsi="Times New Roman" w:eastAsia="方正小标宋简体" w:cs="Times New Roman"/>
          <w:sz w:val="44"/>
          <w:szCs w:val="44"/>
          <w:lang w:val="en-US" w:eastAsia="zh-CN"/>
        </w:rPr>
        <w:t>广西警察学院2026年单位预算公开说明</w:t>
      </w:r>
    </w:p>
    <w:p>
      <w:pPr>
        <w:adjustRightInd w:val="0"/>
        <w:snapToGrid w:val="0"/>
        <w:spacing w:line="560" w:lineRule="exact"/>
        <w:ind w:right="-218" w:rightChars="-104"/>
        <w:jc w:val="center"/>
        <w:rPr>
          <w:rFonts w:hint="eastAsia" w:ascii="黑体" w:hAnsi="宋体" w:eastAsia="黑体" w:cs="Times New Roman"/>
          <w:bCs/>
          <w:sz w:val="32"/>
          <w:szCs w:val="32"/>
        </w:rPr>
      </w:pPr>
    </w:p>
    <w:p>
      <w:pPr>
        <w:adjustRightInd w:val="0"/>
        <w:snapToGrid w:val="0"/>
        <w:spacing w:line="560" w:lineRule="exact"/>
        <w:ind w:right="-218" w:rightChars="-104"/>
        <w:jc w:val="center"/>
        <w:rPr>
          <w:rFonts w:hint="eastAsia" w:ascii="黑体" w:hAnsi="宋体" w:eastAsia="黑体" w:cs="Times New Roman"/>
          <w:bCs/>
          <w:sz w:val="32"/>
          <w:szCs w:val="32"/>
        </w:rPr>
      </w:pPr>
      <w:r>
        <w:rPr>
          <w:rFonts w:hint="eastAsia" w:ascii="黑体" w:hAnsi="宋体" w:eastAsia="黑体" w:cs="Times New Roman"/>
          <w:bCs/>
          <w:sz w:val="32"/>
          <w:szCs w:val="32"/>
        </w:rPr>
        <w:t>目录</w:t>
      </w:r>
    </w:p>
    <w:p>
      <w:pPr>
        <w:adjustRightInd w:val="0"/>
        <w:snapToGrid w:val="0"/>
        <w:spacing w:line="560" w:lineRule="exact"/>
        <w:ind w:right="-218" w:rightChars="-104" w:firstLine="640" w:firstLineChars="200"/>
        <w:rPr>
          <w:rFonts w:hint="eastAsia" w:ascii="黑体" w:hAnsi="宋体" w:eastAsia="黑体" w:cs="Times New Roman"/>
          <w:bCs/>
          <w:sz w:val="32"/>
          <w:szCs w:val="32"/>
        </w:rPr>
      </w:pPr>
    </w:p>
    <w:p>
      <w:pPr>
        <w:adjustRightInd w:val="0"/>
        <w:snapToGrid w:val="0"/>
        <w:spacing w:line="560" w:lineRule="exact"/>
        <w:ind w:right="-218" w:rightChars="-104" w:firstLine="640" w:firstLineChars="200"/>
        <w:rPr>
          <w:rFonts w:hint="eastAsia" w:ascii="黑体" w:hAnsi="宋体" w:eastAsia="黑体" w:cs="Times New Roman"/>
          <w:bCs/>
          <w:sz w:val="32"/>
          <w:szCs w:val="32"/>
        </w:rPr>
      </w:pPr>
      <w:r>
        <w:rPr>
          <w:rFonts w:hint="eastAsia" w:ascii="黑体" w:hAnsi="宋体" w:eastAsia="黑体" w:cs="Times New Roman"/>
          <w:bCs/>
          <w:sz w:val="32"/>
          <w:szCs w:val="32"/>
        </w:rPr>
        <w:t>第一部分：单位概况</w:t>
      </w:r>
    </w:p>
    <w:p>
      <w:pPr>
        <w:adjustRightInd w:val="0"/>
        <w:snapToGrid w:val="0"/>
        <w:spacing w:line="560" w:lineRule="exact"/>
        <w:ind w:right="-218" w:rightChars="-104" w:firstLine="640" w:firstLineChars="200"/>
        <w:rPr>
          <w:rFonts w:hint="eastAsia" w:ascii="黑体" w:hAnsi="宋体" w:eastAsia="黑体" w:cs="Times New Roman"/>
          <w:bCs/>
          <w:sz w:val="32"/>
          <w:szCs w:val="32"/>
        </w:rPr>
      </w:pPr>
    </w:p>
    <w:p>
      <w:pPr>
        <w:adjustRightInd w:val="0"/>
        <w:snapToGrid w:val="0"/>
        <w:spacing w:line="560" w:lineRule="exact"/>
        <w:ind w:right="-218" w:rightChars="-104" w:firstLine="640" w:firstLineChars="200"/>
        <w:rPr>
          <w:rFonts w:hint="eastAsia" w:ascii="黑体" w:hAnsi="宋体" w:eastAsia="黑体" w:cs="Times New Roman"/>
          <w:bCs/>
          <w:sz w:val="32"/>
          <w:szCs w:val="32"/>
        </w:rPr>
      </w:pPr>
      <w:r>
        <w:rPr>
          <w:rFonts w:hint="eastAsia" w:ascii="黑体" w:hAnsi="宋体" w:eastAsia="黑体" w:cs="Times New Roman"/>
          <w:bCs/>
          <w:sz w:val="32"/>
          <w:szCs w:val="32"/>
        </w:rPr>
        <w:t>第二部分：广西警察学院 2026 年单位预算情况说明</w:t>
      </w:r>
    </w:p>
    <w:p>
      <w:pPr>
        <w:adjustRightInd w:val="0"/>
        <w:snapToGrid w:val="0"/>
        <w:spacing w:line="560" w:lineRule="exact"/>
        <w:ind w:right="-218" w:rightChars="-104" w:firstLine="640" w:firstLineChars="200"/>
        <w:rPr>
          <w:rFonts w:hint="eastAsia" w:ascii="黑体" w:hAnsi="宋体" w:eastAsia="黑体" w:cs="Times New Roman"/>
          <w:bCs/>
          <w:sz w:val="32"/>
          <w:szCs w:val="32"/>
        </w:rPr>
      </w:pPr>
    </w:p>
    <w:p>
      <w:pPr>
        <w:adjustRightInd w:val="0"/>
        <w:snapToGrid w:val="0"/>
        <w:spacing w:line="560" w:lineRule="exact"/>
        <w:ind w:right="-218" w:rightChars="-104" w:firstLine="640" w:firstLineChars="200"/>
        <w:rPr>
          <w:rFonts w:hint="eastAsia" w:ascii="黑体" w:hAnsi="宋体" w:eastAsia="黑体" w:cs="Times New Roman"/>
          <w:bCs/>
          <w:sz w:val="32"/>
          <w:szCs w:val="32"/>
        </w:rPr>
      </w:pPr>
      <w:r>
        <w:rPr>
          <w:rFonts w:hint="eastAsia" w:ascii="黑体" w:hAnsi="宋体" w:eastAsia="黑体" w:cs="Times New Roman"/>
          <w:bCs/>
          <w:sz w:val="32"/>
          <w:szCs w:val="32"/>
        </w:rPr>
        <w:t>第三部分：名词解释</w:t>
      </w:r>
    </w:p>
    <w:p>
      <w:pPr>
        <w:adjustRightInd w:val="0"/>
        <w:snapToGrid w:val="0"/>
        <w:spacing w:line="560" w:lineRule="exact"/>
        <w:ind w:right="-218" w:rightChars="-104" w:firstLine="640" w:firstLineChars="200"/>
        <w:rPr>
          <w:rFonts w:hint="eastAsia" w:ascii="黑体" w:hAnsi="宋体" w:eastAsia="黑体" w:cs="Times New Roman"/>
          <w:bCs/>
          <w:sz w:val="32"/>
          <w:szCs w:val="32"/>
        </w:rPr>
      </w:pPr>
    </w:p>
    <w:p>
      <w:pPr>
        <w:adjustRightInd w:val="0"/>
        <w:snapToGrid w:val="0"/>
        <w:spacing w:line="560" w:lineRule="exact"/>
        <w:ind w:right="-218" w:rightChars="-104" w:firstLine="640" w:firstLineChars="200"/>
        <w:rPr>
          <w:rFonts w:hint="eastAsia" w:ascii="黑体" w:hAnsi="宋体" w:eastAsia="黑体" w:cs="Times New Roman"/>
          <w:bCs/>
          <w:sz w:val="32"/>
          <w:szCs w:val="32"/>
        </w:rPr>
      </w:pPr>
      <w:r>
        <w:rPr>
          <w:rFonts w:hint="eastAsia" w:ascii="黑体" w:hAnsi="宋体" w:eastAsia="黑体" w:cs="Times New Roman"/>
          <w:bCs/>
          <w:sz w:val="32"/>
          <w:szCs w:val="32"/>
        </w:rPr>
        <w:t>第四部分：广西警察学院 2026 年单位预算公开报表</w:t>
      </w:r>
    </w:p>
    <w:p>
      <w:pPr>
        <w:rPr>
          <w:rFonts w:hint="eastAsia"/>
        </w:rPr>
      </w:pPr>
      <w:r>
        <w:rPr>
          <w:rFonts w:hint="eastAsia"/>
        </w:rPr>
        <w:br w:type="page"/>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黑体" w:hAnsi="宋体" w:eastAsia="黑体" w:cs="Times New Roman"/>
          <w:bCs/>
          <w:sz w:val="32"/>
          <w:szCs w:val="32"/>
        </w:rPr>
      </w:pPr>
      <w:r>
        <w:rPr>
          <w:rFonts w:hint="eastAsia" w:ascii="黑体" w:hAnsi="宋体" w:eastAsia="黑体" w:cs="Times New Roman"/>
          <w:bCs/>
          <w:sz w:val="32"/>
          <w:szCs w:val="32"/>
        </w:rPr>
        <w:t>第一部分：单位概况</w:t>
      </w:r>
    </w:p>
    <w:p>
      <w:pPr>
        <w:keepNext w:val="0"/>
        <w:keepLines w:val="0"/>
        <w:pageBreakBefore w:val="0"/>
        <w:widowControl w:val="0"/>
        <w:kinsoku/>
        <w:wordWrap/>
        <w:overflowPunct/>
        <w:topLinePunct w:val="0"/>
        <w:autoSpaceDE/>
        <w:autoSpaceDN/>
        <w:bidi w:val="0"/>
        <w:adjustRightInd w:val="0"/>
        <w:snapToGrid w:val="0"/>
        <w:spacing w:line="560" w:lineRule="exact"/>
        <w:ind w:right="-218" w:rightChars="-104" w:firstLine="640" w:firstLineChars="200"/>
        <w:textAlignment w:val="auto"/>
        <w:rPr>
          <w:rFonts w:hint="eastAsia" w:ascii="黑体" w:hAnsi="宋体" w:eastAsia="黑体" w:cs="Times New Roman"/>
          <w:bCs/>
          <w:sz w:val="32"/>
          <w:szCs w:val="32"/>
        </w:rPr>
      </w:pPr>
      <w:r>
        <w:rPr>
          <w:rFonts w:hint="eastAsia" w:ascii="黑体" w:hAnsi="宋体" w:eastAsia="黑体" w:cs="Times New Roman"/>
          <w:bCs/>
          <w:sz w:val="32"/>
          <w:szCs w:val="32"/>
        </w:rPr>
        <w:t>一、单位主要职能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广西警察学院是广西壮族自治区人民政府举办的普通高等本科院校，由自治区公安厅主管，教育教学业务接受自治区教育厅指导。学校前身为1950年1月成立的中共广西省委社会部政训队，历经广西省公安学校、广西公安干部学校、广西政法公安学校、广西政法干部学校、广西人民警察学校和广西公安管理干部学院等发展阶段，2003年改制为广西警官高等专科学校，2015年升格为本科院校并更名为广西警察学院，2018年广西政法管理干部学院并入广西警察学院，2025年获批广西新增硕士学位授予立项建设单位。建校以来，学校秉承“德才育人、忠勇铸魂”校训精神，立德树人、育警铸剑，累计向全区各级政法机关和相关行业输送合格毕业生9万余人，培训在职民警、政法干部、律师等10万多人次，被誉为“八桂警官的摇篮”“法律人才的沃土”。当前，学校积极融入教育强国建设和公安工作现代化大局，全面深化教育教学综合改革，加快高质量发展，全力办好人民满意的公安高等教育，为谱写中国式现代化广西篇章作出更大贡献。</w:t>
      </w:r>
    </w:p>
    <w:p>
      <w:pPr>
        <w:keepNext w:val="0"/>
        <w:keepLines w:val="0"/>
        <w:pageBreakBefore w:val="0"/>
        <w:widowControl w:val="0"/>
        <w:kinsoku/>
        <w:wordWrap/>
        <w:overflowPunct/>
        <w:topLinePunct w:val="0"/>
        <w:autoSpaceDE/>
        <w:autoSpaceDN/>
        <w:bidi w:val="0"/>
        <w:adjustRightInd w:val="0"/>
        <w:snapToGrid w:val="0"/>
        <w:spacing w:line="560" w:lineRule="exact"/>
        <w:ind w:right="-218" w:rightChars="-104" w:firstLine="640" w:firstLineChars="200"/>
        <w:textAlignment w:val="auto"/>
        <w:rPr>
          <w:rFonts w:hint="eastAsia" w:ascii="黑体" w:hAnsi="宋体" w:eastAsia="黑体" w:cs="Times New Roman"/>
          <w:bCs/>
          <w:sz w:val="32"/>
          <w:szCs w:val="32"/>
          <w:lang w:val="en-US" w:eastAsia="zh-CN"/>
        </w:rPr>
      </w:pPr>
      <w:r>
        <w:rPr>
          <w:rFonts w:hint="eastAsia" w:ascii="黑体" w:hAnsi="宋体" w:eastAsia="黑体" w:cs="Times New Roman"/>
          <w:bCs/>
          <w:sz w:val="32"/>
          <w:szCs w:val="32"/>
          <w:lang w:val="en-US" w:eastAsia="zh-CN"/>
        </w:rPr>
        <w:t>二、机构设置情况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color w:val="auto"/>
          <w:kern w:val="2"/>
          <w:sz w:val="32"/>
          <w:szCs w:val="32"/>
          <w:highlight w:val="none"/>
          <w:lang w:val="en-US" w:eastAsia="zh-CN" w:bidi="ar-SA"/>
        </w:rPr>
        <w:t>（一）机构设置。</w:t>
      </w:r>
      <w:r>
        <w:rPr>
          <w:rFonts w:hint="eastAsia" w:ascii="仿宋_GB2312" w:hAnsi="仿宋_GB2312" w:eastAsia="仿宋_GB2312" w:cs="仿宋_GB2312"/>
          <w:color w:val="auto"/>
          <w:kern w:val="2"/>
          <w:sz w:val="32"/>
          <w:szCs w:val="32"/>
          <w:highlight w:val="none"/>
          <w:lang w:val="en-US" w:eastAsia="zh-CN" w:bidi="ar-SA"/>
        </w:rPr>
        <w:t>学校开设28个本科专业（公安专业12个、普通专业16个），侦查学、禁毒学、经济犯罪侦查、刑事科学技术、治安学、公安管理学、交通管理工程7个专业入选自治区一流本科专业建设点。形成“4337”重点学科布局，重点建设公安学、公安技术、法学、国家安全学4个一级学科和侦查学等3个二级学科、禁毒学等3个特色学科、警察法学等7个特色研究领域，学科门类涵盖法学、工学、管理学、文学、艺术学。培育国家级一流本科课程2门、自治区级一流本科课程16门。推进实战化教学改革，完善“教学研练战”一体化人才培养模式，与自治区公安厅各总队健全“专业＋警种”合作机制，大力深化战学研融合，推动厅校局企协同育人。2021—2024年，连续四年获评全区普通高校毕业生就业创业工作突出单位。2023—2024年，连续两年获评留桂就业工作贡献突出单位。</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color w:val="auto"/>
          <w:kern w:val="2"/>
          <w:sz w:val="32"/>
          <w:szCs w:val="32"/>
          <w:highlight w:val="none"/>
          <w:lang w:val="en-US" w:eastAsia="zh-CN" w:bidi="ar-SA"/>
        </w:rPr>
        <w:t>（二）人员构成。</w:t>
      </w:r>
      <w:r>
        <w:rPr>
          <w:rFonts w:hint="eastAsia" w:ascii="仿宋_GB2312" w:hAnsi="仿宋_GB2312" w:eastAsia="仿宋_GB2312" w:cs="仿宋_GB2312"/>
          <w:color w:val="auto"/>
          <w:kern w:val="2"/>
          <w:sz w:val="32"/>
          <w:szCs w:val="32"/>
          <w:highlight w:val="none"/>
          <w:lang w:val="en-US" w:eastAsia="zh-CN" w:bidi="ar-SA"/>
        </w:rPr>
        <w:t>事业在编 738 人；非实名人员控制数 37 名，后勤服务聘用人员控制数 35 人；实有编外在职人员 204 人；离退休人员 320 人（其中离休 1 人、退休 319 人）；全日制在校学生 14686 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color w:val="auto"/>
          <w:kern w:val="2"/>
          <w:sz w:val="32"/>
          <w:szCs w:val="32"/>
          <w:highlight w:val="none"/>
          <w:lang w:val="en-US" w:eastAsia="zh-CN" w:bidi="ar-SA"/>
        </w:rPr>
        <w:t>（三）国有资产情况。</w:t>
      </w:r>
      <w:r>
        <w:rPr>
          <w:rFonts w:hint="eastAsia" w:ascii="仿宋_GB2312" w:hAnsi="仿宋_GB2312" w:eastAsia="仿宋_GB2312" w:cs="仿宋_GB2312"/>
          <w:color w:val="auto"/>
          <w:kern w:val="2"/>
          <w:sz w:val="32"/>
          <w:szCs w:val="32"/>
          <w:highlight w:val="none"/>
          <w:lang w:val="en-US" w:eastAsia="zh-CN" w:bidi="ar-SA"/>
        </w:rPr>
        <w:t>学校有仙葫、五合、长湖3个校区及北海训练基地，占地面积1570余亩，校舍建筑面积47.395万平方米，教学行政用房面积17.11万平方米。教学科研仪器设备总值10705.03万元。图书馆馆藏纸质图书162.58万册、电子图书84.22万册。校内实验实训场所35个（148间）、校外实践教学基地135个，自治区级实验教学中心建设点2个，广西本科高校特色专业及实验实训教学基地4个、自治区级示范性现代产业学院1个。车辆编制数 41 辆，实有一般（公务）用车 17 辆。</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0" w:lineRule="exact"/>
        <w:ind w:right="-218" w:rightChars="-104" w:firstLine="640" w:firstLineChars="200"/>
        <w:textAlignment w:val="auto"/>
        <w:rPr>
          <w:rFonts w:hint="eastAsia" w:ascii="黑体" w:hAnsi="宋体" w:eastAsia="黑体" w:cs="Times New Roman"/>
          <w:bCs/>
          <w:sz w:val="32"/>
          <w:szCs w:val="32"/>
          <w:lang w:val="en-US" w:eastAsia="zh-CN"/>
        </w:rPr>
      </w:pPr>
      <w:r>
        <w:rPr>
          <w:rFonts w:hint="eastAsia" w:ascii="黑体" w:hAnsi="宋体" w:eastAsia="黑体" w:cs="Times New Roman"/>
          <w:bCs/>
          <w:sz w:val="32"/>
          <w:szCs w:val="32"/>
          <w:lang w:val="en-US" w:eastAsia="zh-CN"/>
        </w:rPr>
        <w:t>第二部分：广西警察学院 2026 年单位预算情况说明</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一、单位预算收支增减变化情况说明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 年预算总收入39045.21万元，同比增加3498.21 万元，增长9.84%。主要增长原因是生均拨款增加、财政另行核拨人员配套经费增加，以及教学科研经费、教育厅下达专项经费的增长。</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 年预算总支出39045.21万元，同比增加 3498.21 万元，增长9.84%。增长主要源于四方面：一是生均拨款增加 1786.33 万元；二是教学科研经费增加170万元；三是教育厅下达专项经费增加1283.98 万元；四是在职在编人员岗位工资普调，带动养老保险、职业年金、医疗保险、住房公积金等相关支出增长。</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二、单位预算收入总体情况说明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2026年收入总预算39045.21 万元，同比增加3498.21 万元，增长9.84%，具体构成如下：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一般公共预算收入19988.21 万元，同比增加3501.21 万元，增长21.24%。增长原因包括生均拨款增加1786.33 万元、财政另行核拨人员配套经费增加260.9万元、教学科研经费增加170万元、教育厅下达专项经费增加1283.98万元。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政府性基金预算收入0万元，同比无变化。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国有资本经营预算收入0万元，同比无变化。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财政专户管理资金收入 19057.00 万元，同比减少 3.00万元，下降0.02%。</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单位资金收入0万元，同比无变化。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上年结转结余0万元，同比无变化。</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三、单位预算支出总体情况说明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2026年支出预算39045.21万元，同比增加3498.21万元，增长9.84%。</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按支出功能分类：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教育支出32421.64万元，占本年支出 83.04%，同比增加 2391.88万元，增长7.96%。增长原因是学生人数增加导致教育支出增加。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社会保障和就业支出3454.78 万元，占本年支出 8.85%，同比增加310.10万元，增长9.86%。增长原因是在职在编人员岗位工资普调，按比例计提的养老保险和职业年金增加。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卫生健康支出995.45万元，占本年支出2.55%，同比增加90.46万元，增长9.99%。增长原因是在职在编人员岗位工资普调，按比例计提的医疗保险增加。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住房保障支出1614.24万元，占本年支出4.13%，同比增加146.68万元，增长9.99%。增长原因是在职在编人员岗位工资普调，按比例计提的住房公积金增加。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按支出结构分类：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基本支出23619.08万元，占本年支出60.49%，同比增加 73.54 万元，增长 0.31%。其中人员经费22974.92万元（占基本支出97.27%），同比增加1510.20万元，增长7.04%；公用经费644.17万元（占基本支出2.73%），同比减少 1436.66万元，下降69.04%。</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项目支出15426.12万元，占本年支出39.51%，同比增加 1402.66万元，增长10.00%。增长原因是教学运行经费、教学科研经费及教育厅专项经费增加。</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四、政府性基金预算支出情况说明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 年部门预算无政府性基金预算。</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五、国有资本经营预算支出情况说明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 年部门预算无国有资本经营预算。</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六、一般公共预算 “三公” 经费支出情况说明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2026年一般公共预算“三公”经费33.82万元，同比减少1.62万元，下降4.57%，具体如下：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因公出国（境）费0万元，同比无变化。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公务接待费2.94万元，同比无变化。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公务用车购置及运行维护费30.88 万元，同比减少 1.62万元，下降4.98%，其中：公务用车购置费0万元，同比无变化，公务用车运行维护费30.88万元，同比减少 1.62万元，下降4.98%。减少的主要原因是根据自治区压减一般性支出的有关要求，相应减少了公务用车运行维护费用。</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七、事业单位相关运行经费安排情况说明</w:t>
      </w:r>
    </w:p>
    <w:p>
      <w:pPr>
        <w:tabs>
          <w:tab w:val="center" w:pos="4475"/>
        </w:tabs>
        <w:spacing w:line="560" w:lineRule="exact"/>
        <w:ind w:firstLine="645"/>
        <w:rPr>
          <w:rFonts w:hint="eastAsia" w:ascii="仿宋_GB2312" w:hAnsi="Times New Roman" w:cs="Times New Roman"/>
          <w:sz w:val="32"/>
          <w:szCs w:val="32"/>
          <w:lang w:val="en-US" w:eastAsia="zh-CN"/>
        </w:rPr>
      </w:pPr>
      <w:r>
        <w:rPr>
          <w:rFonts w:hint="eastAsia" w:ascii="仿宋_GB2312" w:hAnsi="仿宋_GB2312" w:eastAsia="仿宋_GB2312" w:cs="仿宋_GB2312"/>
          <w:color w:val="auto"/>
          <w:kern w:val="2"/>
          <w:sz w:val="32"/>
          <w:szCs w:val="32"/>
          <w:highlight w:val="none"/>
          <w:lang w:val="en-US" w:eastAsia="zh-CN" w:bidi="ar-SA"/>
        </w:rPr>
        <w:t>2026年事业单位相关运行经费预算3568.84万元，围绕学校日常运转需求安排，主要用于办公及印刷费、邮电费、差旅费、日常维修费、专用材料及一般设备购置费、办公用房水电费、物业管理费等，通过基本支出中公用经费及相关项目支出统筹保障，确保行政办公、教学科研等日常工作有序开展。同比2025年3329.05万元增加239.79万元，增长的主要原因是在职在编人员和在校学生人数增加，学校日常运行经费增加。</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八、政府采购预算安排情况说明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2026年政府采购预算10696.66万元，同比增加 2322.84万元，增长27.75%。其中：货物采购2472.36万元占</w:t>
      </w:r>
      <w:r>
        <w:rPr>
          <w:rFonts w:hint="eastAsia" w:ascii="仿宋" w:hAnsi="仿宋" w:eastAsia="仿宋" w:cs="仿宋"/>
          <w:color w:val="auto"/>
          <w:sz w:val="32"/>
          <w:szCs w:val="32"/>
          <w:highlight w:val="none"/>
        </w:rPr>
        <w:t>政府采购预算</w:t>
      </w:r>
      <w:r>
        <w:rPr>
          <w:rFonts w:hint="eastAsia" w:ascii="仿宋_GB2312" w:hAnsi="仿宋_GB2312" w:eastAsia="仿宋_GB2312" w:cs="仿宋_GB2312"/>
          <w:color w:val="auto"/>
          <w:kern w:val="2"/>
          <w:sz w:val="32"/>
          <w:szCs w:val="32"/>
          <w:highlight w:val="none"/>
          <w:lang w:val="en-US" w:eastAsia="zh-CN" w:bidi="ar-SA"/>
        </w:rPr>
        <w:t>23.12%，工程采购0万元，服务采购8224.31万元，占</w:t>
      </w:r>
      <w:r>
        <w:rPr>
          <w:rFonts w:hint="eastAsia" w:ascii="仿宋" w:hAnsi="仿宋" w:eastAsia="仿宋" w:cs="仿宋"/>
          <w:color w:val="auto"/>
          <w:sz w:val="32"/>
          <w:szCs w:val="32"/>
          <w:highlight w:val="none"/>
        </w:rPr>
        <w:t>政府采购预算</w:t>
      </w:r>
      <w:r>
        <w:rPr>
          <w:rFonts w:hint="eastAsia" w:ascii="仿宋_GB2312" w:hAnsi="仿宋_GB2312" w:eastAsia="仿宋_GB2312" w:cs="仿宋_GB2312"/>
          <w:color w:val="auto"/>
          <w:kern w:val="2"/>
          <w:sz w:val="32"/>
          <w:szCs w:val="32"/>
          <w:highlight w:val="none"/>
          <w:lang w:val="en-US" w:eastAsia="zh-CN" w:bidi="ar-SA"/>
        </w:rPr>
        <w:t>76.88%。政府采购预算增长主要原因是随着学校办学规模的扩大、学生人数的增加，对教学设备和办公物资采购需求增加。</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九、国有资产占用情况说明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2026年学校实有一般（公务）用车17 辆，与上年一致。国有资产配置符合单位职能履行和教学科研发展需求，资产使用规范、管理有序，保障各项工作高效推进。</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十、预算绩效目标情况说明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（一）2026年所有项目支出全面实施绩效目标管理，涉及自治区本级项目，预算资金15426.12 万元；无对下转移支付项目。绩效目标聚焦教学质量提升、科研创新突破、学生全面发展、校园安全保障等核心任务，确保财政资金精准高效使用。</w:t>
      </w:r>
    </w:p>
    <w:p>
      <w:pPr>
        <w:keepNext w:val="0"/>
        <w:keepLines w:val="0"/>
        <w:pageBreakBefore w:val="0"/>
        <w:widowControl w:val="0"/>
        <w:numPr>
          <w:ilvl w:val="0"/>
          <w:numId w:val="1"/>
        </w:numPr>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重点项目预算绩效目标说明：</w:t>
      </w:r>
    </w:p>
    <w:tbl>
      <w:tblPr>
        <w:tblStyle w:val="9"/>
        <w:tblW w:w="89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509"/>
        <w:gridCol w:w="4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6" w:hRule="atLeast"/>
        </w:trPr>
        <w:tc>
          <w:tcPr>
            <w:tcW w:w="2840" w:type="dxa"/>
            <w:vAlign w:val="center"/>
          </w:tcPr>
          <w:p>
            <w:pPr>
              <w:keepNext w:val="0"/>
              <w:keepLines w:val="0"/>
              <w:pageBreakBefore w:val="0"/>
              <w:widowControl w:val="0"/>
              <w:tabs>
                <w:tab w:val="center" w:pos="4475"/>
              </w:tabs>
              <w:kinsoku/>
              <w:wordWrap/>
              <w:overflowPunct/>
              <w:topLinePunct w:val="0"/>
              <w:autoSpaceDE/>
              <w:autoSpaceDN/>
              <w:bidi w:val="0"/>
              <w:adjustRightInd/>
              <w:snapToGrid/>
              <w:spacing w:line="360" w:lineRule="exact"/>
              <w:jc w:val="center"/>
              <w:textAlignment w:val="auto"/>
              <w:rPr>
                <w:rFonts w:hint="eastAsia" w:ascii="黑体" w:hAnsi="Times New Roman" w:eastAsia="黑体" w:cs="Times New Roman"/>
                <w:sz w:val="32"/>
                <w:szCs w:val="32"/>
                <w:vertAlign w:val="baseline"/>
                <w:lang w:val="en-US" w:eastAsia="zh-CN"/>
              </w:rPr>
            </w:pPr>
            <w:r>
              <w:rPr>
                <w:rFonts w:hint="eastAsia" w:ascii="仿宋_GB2312" w:hAnsi="仿宋_GB2312" w:eastAsia="仿宋_GB2312" w:cs="仿宋_GB2312"/>
                <w:color w:val="auto"/>
                <w:kern w:val="2"/>
                <w:sz w:val="32"/>
                <w:szCs w:val="32"/>
                <w:highlight w:val="none"/>
                <w:lang w:val="en-US" w:eastAsia="zh-CN" w:bidi="ar-SA"/>
              </w:rPr>
              <w:t>项目名称</w:t>
            </w:r>
          </w:p>
        </w:tc>
        <w:tc>
          <w:tcPr>
            <w:tcW w:w="1509" w:type="dxa"/>
            <w:vAlign w:val="center"/>
          </w:tcPr>
          <w:p>
            <w:pPr>
              <w:keepNext w:val="0"/>
              <w:keepLines w:val="0"/>
              <w:pageBreakBefore w:val="0"/>
              <w:widowControl w:val="0"/>
              <w:tabs>
                <w:tab w:val="center" w:pos="4475"/>
              </w:tabs>
              <w:kinsoku/>
              <w:wordWrap/>
              <w:overflowPunct/>
              <w:topLinePunct w:val="0"/>
              <w:autoSpaceDE/>
              <w:autoSpaceDN/>
              <w:bidi w:val="0"/>
              <w:adjustRightInd/>
              <w:snapToGrid/>
              <w:spacing w:line="360" w:lineRule="exact"/>
              <w:jc w:val="center"/>
              <w:textAlignment w:val="auto"/>
              <w:rPr>
                <w:rFonts w:hint="eastAsia" w:ascii="黑体" w:hAnsi="Times New Roman" w:eastAsia="黑体" w:cs="Times New Roman"/>
                <w:sz w:val="32"/>
                <w:szCs w:val="32"/>
                <w:vertAlign w:val="baseline"/>
                <w:lang w:val="en-US" w:eastAsia="zh-CN"/>
              </w:rPr>
            </w:pPr>
            <w:r>
              <w:rPr>
                <w:rFonts w:hint="eastAsia" w:ascii="仿宋_GB2312" w:hAnsi="仿宋_GB2312" w:eastAsia="仿宋_GB2312" w:cs="仿宋_GB2312"/>
                <w:color w:val="auto"/>
                <w:kern w:val="2"/>
                <w:sz w:val="32"/>
                <w:szCs w:val="32"/>
                <w:highlight w:val="none"/>
                <w:lang w:val="en-US" w:eastAsia="zh-CN" w:bidi="ar-SA"/>
              </w:rPr>
              <w:t>预算数（万元）</w:t>
            </w:r>
          </w:p>
        </w:tc>
        <w:tc>
          <w:tcPr>
            <w:tcW w:w="456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Times New Roman" w:eastAsia="黑体" w:cs="Times New Roman"/>
                <w:sz w:val="32"/>
                <w:szCs w:val="32"/>
                <w:vertAlign w:val="baseline"/>
                <w:lang w:val="en-US" w:eastAsia="zh-CN"/>
              </w:rPr>
            </w:pPr>
            <w:r>
              <w:rPr>
                <w:rFonts w:hint="eastAsia" w:ascii="仿宋_GB2312" w:hAnsi="仿宋_GB2312" w:eastAsia="仿宋_GB2312" w:cs="仿宋_GB2312"/>
                <w:color w:val="auto"/>
                <w:kern w:val="2"/>
                <w:sz w:val="32"/>
                <w:szCs w:val="32"/>
                <w:highlight w:val="none"/>
                <w:lang w:val="en-US" w:eastAsia="zh-CN" w:bidi="ar-SA"/>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6" w:hRule="atLeast"/>
        </w:trPr>
        <w:tc>
          <w:tcPr>
            <w:tcW w:w="2840" w:type="dxa"/>
            <w:vAlign w:val="center"/>
          </w:tcPr>
          <w:p>
            <w:pPr>
              <w:keepNext w:val="0"/>
              <w:keepLines w:val="0"/>
              <w:pageBreakBefore w:val="0"/>
              <w:widowControl w:val="0"/>
              <w:tabs>
                <w:tab w:val="center" w:pos="4475"/>
              </w:tabs>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残疾人保障金（项目支出）</w:t>
            </w:r>
          </w:p>
        </w:tc>
        <w:tc>
          <w:tcPr>
            <w:tcW w:w="1509" w:type="dxa"/>
            <w:shd w:val="clear" w:color="auto" w:fill="auto"/>
            <w:vAlign w:val="center"/>
          </w:tcPr>
          <w:p>
            <w:pPr>
              <w:keepNext w:val="0"/>
              <w:keepLines w:val="0"/>
              <w:pageBreakBefore w:val="0"/>
              <w:widowControl w:val="0"/>
              <w:tabs>
                <w:tab w:val="center" w:pos="4475"/>
              </w:tabs>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131.00</w:t>
            </w:r>
          </w:p>
        </w:tc>
        <w:tc>
          <w:tcPr>
            <w:tcW w:w="4560" w:type="dxa"/>
            <w:vAlign w:val="center"/>
          </w:tcPr>
          <w:p>
            <w:pPr>
              <w:keepNext w:val="0"/>
              <w:keepLines w:val="0"/>
              <w:pageBreakBefore w:val="0"/>
              <w:widowControl w:val="0"/>
              <w:tabs>
                <w:tab w:val="center" w:pos="4475"/>
              </w:tabs>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保障残疾人权益，关心和帮助的特殊困难群体，促进残疾人就业，保障残疾人平等参与社会生活、共享社会物质文化成果的基础。</w:t>
            </w:r>
          </w:p>
        </w:tc>
      </w:tr>
    </w:tbl>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bookmarkStart w:id="0" w:name="_GoBack"/>
      <w:r>
        <w:rPr>
          <w:rFonts w:hint="eastAsia" w:ascii="仿宋_GB2312" w:hAnsi="仿宋_GB2312" w:eastAsia="仿宋_GB2312" w:cs="仿宋_GB2312"/>
          <w:color w:val="auto"/>
          <w:kern w:val="2"/>
          <w:sz w:val="32"/>
          <w:szCs w:val="32"/>
          <w:highlight w:val="none"/>
          <w:lang w:val="en-US" w:eastAsia="zh-CN" w:bidi="ar-SA"/>
        </w:rPr>
        <w:t>备注：以上项目不含日常运转类项目、工资类人员经费项目、涉密项目及其他不宜公开的项目。</w:t>
      </w:r>
    </w:p>
    <w:bookmarkEnd w:id="0"/>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第三部分：名词解释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三、“三公”经费：纳入自治区财政预决算管理的 “三公” 经费，是指自治区本级各部门用财政拨款安排的因公出国（境）费、公务用车购置及运行费和公务接待费。其中，因公出国（境）费反映单位公务出国（境）的国际旅费、国外城市间交通费、住宿费等支出；公务用车购置及运行费反映单位公务用车车辆购置支出（含车辆购置税）及租用费、燃料费等支出；公务接待费反映单位按规定开支的各类公务接待（含外宾接待）支出。</w:t>
      </w:r>
    </w:p>
    <w:p>
      <w:pPr>
        <w:keepNext w:val="0"/>
        <w:keepLines w:val="0"/>
        <w:pageBreakBefore w:val="0"/>
        <w:widowControl w:val="0"/>
        <w:tabs>
          <w:tab w:val="center" w:pos="4475"/>
        </w:tabs>
        <w:kinsoku/>
        <w:wordWrap/>
        <w:overflowPunct/>
        <w:topLinePunct w:val="0"/>
        <w:autoSpaceDE/>
        <w:autoSpaceDN/>
        <w:bidi w:val="0"/>
        <w:spacing w:line="560" w:lineRule="exact"/>
        <w:ind w:firstLine="645"/>
        <w:textAlignment w:val="auto"/>
        <w:rPr>
          <w:rFonts w:hint="eastAsia" w:ascii="黑体" w:hAnsi="Times New Roman" w:eastAsia="黑体" w:cs="Times New Roman"/>
          <w:sz w:val="32"/>
          <w:szCs w:val="32"/>
          <w:lang w:val="en-US" w:eastAsia="zh-CN"/>
        </w:rPr>
      </w:pPr>
      <w:r>
        <w:rPr>
          <w:rFonts w:hint="eastAsia" w:ascii="黑体" w:hAnsi="Times New Roman" w:eastAsia="黑体" w:cs="Times New Roman"/>
          <w:sz w:val="32"/>
          <w:szCs w:val="32"/>
          <w:lang w:val="en-US" w:eastAsia="zh-CN"/>
        </w:rPr>
        <w:t>第四部分：广西警察学院 2026 年单位预算公开报表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广西警察学院 2026 年预算公开报表详见附件。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F80C8"/>
    <w:multiLevelType w:val="singleLevel"/>
    <w:tmpl w:val="98DF80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535E"/>
    <w:rsid w:val="03FC6CA5"/>
    <w:rsid w:val="11A51624"/>
    <w:rsid w:val="1537060C"/>
    <w:rsid w:val="1C0F0A4F"/>
    <w:rsid w:val="2E9E2290"/>
    <w:rsid w:val="34301549"/>
    <w:rsid w:val="36FFFBBF"/>
    <w:rsid w:val="401B7453"/>
    <w:rsid w:val="530F44FE"/>
    <w:rsid w:val="5A3E2144"/>
    <w:rsid w:val="5C506447"/>
    <w:rsid w:val="6245683D"/>
    <w:rsid w:val="66A440C2"/>
    <w:rsid w:val="6F147AB4"/>
    <w:rsid w:val="78A10A94"/>
    <w:rsid w:val="7B934BFA"/>
    <w:rsid w:val="7DAC2DAB"/>
    <w:rsid w:val="97DF6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line="380" w:lineRule="exact"/>
    </w:pPr>
    <w:rPr>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3425</Words>
  <Characters>3961</Characters>
  <Lines>0</Lines>
  <Paragraphs>0</Paragraphs>
  <TotalTime>0</TotalTime>
  <ScaleCrop>false</ScaleCrop>
  <LinksUpToDate>false</LinksUpToDate>
  <CharactersWithSpaces>4027</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2026-02-04T05:30:00Z</dcterms:created>
  <dc:creator>HUAWEI</dc:creator>
  <cp:lastModifiedBy>勾婧思</cp:lastModifiedBy>
  <dcterms:modified xsi:type="dcterms:W3CDTF">2026-02-12T10:36:45Z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KSOTemplateDocerSaveRecord">
    <vt:lpwstr>eyJoZGlkIjoiM2I0YTAwNjc1YmE3N2U2N2U5ZDlkMGI1MjRjMTg5YjkiLCJ1c2VySWQiOiIxNzYyOTQ0MTcyIn0=</vt:lpwstr>
  </property>
  <property fmtid="{D5CDD505-2E9C-101B-9397-08002B2CF9AE}" pid="4" name="ICV">
    <vt:lpwstr>9832EAA2201E42A6B2EFED2F1B32521B_13</vt:lpwstr>
  </property>
</Properties>
</file>